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5C" w:rsidRPr="00CB5587" w:rsidRDefault="00EB79AF" w:rsidP="00CB5587">
      <w:pPr>
        <w:pStyle w:val="Heading1"/>
      </w:pPr>
      <w:r w:rsidRPr="00CB5587">
        <w:t>Boundary Waters Canoe Area Wilderness</w:t>
      </w:r>
    </w:p>
    <w:p w:rsidR="00EB79AF" w:rsidRDefault="00EB79AF">
      <w:pPr>
        <w:rPr>
          <w:sz w:val="24"/>
          <w:szCs w:val="24"/>
        </w:rPr>
      </w:pPr>
      <w:r w:rsidRPr="00EB79AF">
        <w:rPr>
          <w:sz w:val="24"/>
          <w:szCs w:val="24"/>
        </w:rPr>
        <w:t>The Boundary Waters Canoe Area Wilderness (BWCAW or BWCA), is renowned as a destination for both canoeing and fishing on its many lakes and is the most visited wilderness in the United States.</w:t>
      </w:r>
      <w:r w:rsidR="00CB5587">
        <w:rPr>
          <w:sz w:val="24"/>
          <w:szCs w:val="24"/>
        </w:rPr>
        <w:t xml:space="preserve"> (</w:t>
      </w:r>
      <w:hyperlink r:id="rId4" w:history="1">
        <w:r w:rsidR="00CB5587" w:rsidRPr="00CB1C28">
          <w:rPr>
            <w:rStyle w:val="Hyperlink"/>
            <w:sz w:val="24"/>
            <w:szCs w:val="24"/>
          </w:rPr>
          <w:t>Wikipedia</w:t>
        </w:r>
      </w:hyperlink>
      <w:r w:rsidR="00CB5587">
        <w:rPr>
          <w:sz w:val="24"/>
          <w:szCs w:val="24"/>
        </w:rPr>
        <w:t>)</w:t>
      </w:r>
    </w:p>
    <w:p w:rsidR="00EB79AF" w:rsidRDefault="00EB79AF" w:rsidP="00CB558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96896" cy="1764792"/>
            <wp:effectExtent l="0" t="0" r="0" b="6985"/>
            <wp:docPr id="1" name="Picture 1" descr="Canoe parked at edge of BWCA lake." title="Canoeing in the BW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4px-Bwca-and-wooden-cano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896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9AF" w:rsidRPr="00CB1C28" w:rsidRDefault="00EB79AF" w:rsidP="00CB1C28">
      <w:pPr>
        <w:pStyle w:val="Heading2"/>
        <w:rPr>
          <w:color w:val="595959" w:themeColor="text1" w:themeTint="A6"/>
        </w:rPr>
      </w:pPr>
      <w:r w:rsidRPr="00CB1C28">
        <w:rPr>
          <w:color w:val="595959" w:themeColor="text1" w:themeTint="A6"/>
        </w:rPr>
        <w:t>Recreati</w:t>
      </w:r>
      <w:bookmarkStart w:id="0" w:name="_GoBack"/>
      <w:bookmarkEnd w:id="0"/>
      <w:r w:rsidRPr="00CB1C28">
        <w:rPr>
          <w:color w:val="595959" w:themeColor="text1" w:themeTint="A6"/>
        </w:rPr>
        <w:t>on</w:t>
      </w:r>
    </w:p>
    <w:p w:rsidR="00EB79AF" w:rsidRDefault="00EB79AF">
      <w:pPr>
        <w:rPr>
          <w:sz w:val="24"/>
          <w:szCs w:val="24"/>
        </w:rPr>
      </w:pPr>
      <w:r w:rsidRPr="00EB79AF">
        <w:rPr>
          <w:sz w:val="24"/>
          <w:szCs w:val="24"/>
        </w:rPr>
        <w:t>The BWCAW is renowned as a destination for both canoeing and fishing on its many lakes and is the most visited wilderness in the United States.</w:t>
      </w:r>
      <w:r>
        <w:rPr>
          <w:sz w:val="24"/>
          <w:szCs w:val="24"/>
        </w:rPr>
        <w:t xml:space="preserve"> </w:t>
      </w:r>
      <w:r w:rsidRPr="00EB79AF">
        <w:rPr>
          <w:sz w:val="24"/>
          <w:szCs w:val="24"/>
        </w:rPr>
        <w:t>Although there are numerous drive-in campgrounds surrounding the wilderness, most campsites in the BWCAW are accessible only by water</w:t>
      </w:r>
      <w:r w:rsidR="00EB14D2">
        <w:rPr>
          <w:sz w:val="24"/>
          <w:szCs w:val="24"/>
        </w:rPr>
        <w:t xml:space="preserve">. </w:t>
      </w:r>
      <w:r w:rsidRPr="00EB79AF">
        <w:rPr>
          <w:sz w:val="24"/>
          <w:szCs w:val="24"/>
        </w:rPr>
        <w:t>Most lakes and rivers are interconnected by portage trails, resulting in over 1,000 miles (1,600 km) of canoe routes.</w:t>
      </w:r>
    </w:p>
    <w:tbl>
      <w:tblPr>
        <w:tblStyle w:val="TableGridLight"/>
        <w:tblW w:w="0" w:type="auto"/>
        <w:tblLook w:val="0400" w:firstRow="0" w:lastRow="0" w:firstColumn="0" w:lastColumn="0" w:noHBand="0" w:noVBand="1"/>
        <w:tblCaption w:val="Recreational Activities"/>
        <w:tblDescription w:val="Canoeing, Fishing, Hiking"/>
      </w:tblPr>
      <w:tblGrid>
        <w:gridCol w:w="1615"/>
        <w:gridCol w:w="7735"/>
      </w:tblGrid>
      <w:tr w:rsidR="00176CC9" w:rsidRPr="00176CC9" w:rsidTr="00176CC9">
        <w:trPr>
          <w:tblHeader/>
        </w:trPr>
        <w:tc>
          <w:tcPr>
            <w:tcW w:w="1615" w:type="dxa"/>
            <w:shd w:val="clear" w:color="auto" w:fill="DEEAF6" w:themeFill="accent1" w:themeFillTint="33"/>
          </w:tcPr>
          <w:p w:rsidR="00176CC9" w:rsidRPr="00176CC9" w:rsidRDefault="00176CC9" w:rsidP="00176CC9">
            <w:pPr>
              <w:jc w:val="center"/>
              <w:rPr>
                <w:b/>
                <w:sz w:val="24"/>
                <w:szCs w:val="24"/>
              </w:rPr>
            </w:pPr>
            <w:r w:rsidRPr="00176CC9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7735" w:type="dxa"/>
            <w:shd w:val="clear" w:color="auto" w:fill="DEEAF6" w:themeFill="accent1" w:themeFillTint="33"/>
          </w:tcPr>
          <w:p w:rsidR="00176CC9" w:rsidRPr="00176CC9" w:rsidRDefault="00176CC9" w:rsidP="00176CC9">
            <w:pPr>
              <w:jc w:val="center"/>
              <w:rPr>
                <w:b/>
                <w:sz w:val="24"/>
                <w:szCs w:val="24"/>
              </w:rPr>
            </w:pPr>
            <w:r w:rsidRPr="00176CC9">
              <w:rPr>
                <w:b/>
                <w:sz w:val="24"/>
                <w:szCs w:val="24"/>
              </w:rPr>
              <w:t>Details</w:t>
            </w:r>
          </w:p>
        </w:tc>
      </w:tr>
      <w:tr w:rsidR="00EB14D2" w:rsidTr="00176CC9">
        <w:tc>
          <w:tcPr>
            <w:tcW w:w="1615" w:type="dxa"/>
          </w:tcPr>
          <w:p w:rsidR="00EB14D2" w:rsidRPr="00176CC9" w:rsidRDefault="00EB14D2" w:rsidP="00176C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6CC9">
              <w:rPr>
                <w:color w:val="000000" w:themeColor="text1"/>
                <w:sz w:val="24"/>
                <w:szCs w:val="24"/>
              </w:rPr>
              <w:t>Canoeing</w:t>
            </w:r>
          </w:p>
        </w:tc>
        <w:tc>
          <w:tcPr>
            <w:tcW w:w="7735" w:type="dxa"/>
          </w:tcPr>
          <w:p w:rsidR="00EB14D2" w:rsidRDefault="00EB14D2">
            <w:pPr>
              <w:rPr>
                <w:sz w:val="24"/>
                <w:szCs w:val="24"/>
              </w:rPr>
            </w:pPr>
            <w:r w:rsidRPr="00EB14D2">
              <w:rPr>
                <w:sz w:val="24"/>
                <w:szCs w:val="24"/>
              </w:rPr>
              <w:t>As of 1999, about 75% of the BWCAW's water area was reserved for non-motorized boat travel.</w:t>
            </w:r>
          </w:p>
        </w:tc>
      </w:tr>
      <w:tr w:rsidR="00EB14D2" w:rsidTr="00176CC9">
        <w:tc>
          <w:tcPr>
            <w:tcW w:w="1615" w:type="dxa"/>
          </w:tcPr>
          <w:p w:rsidR="00EB14D2" w:rsidRPr="00176CC9" w:rsidRDefault="00BC3D14" w:rsidP="00176C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6CC9">
              <w:rPr>
                <w:color w:val="000000" w:themeColor="text1"/>
                <w:sz w:val="24"/>
                <w:szCs w:val="24"/>
              </w:rPr>
              <w:t>Fishing</w:t>
            </w:r>
          </w:p>
        </w:tc>
        <w:tc>
          <w:tcPr>
            <w:tcW w:w="7735" w:type="dxa"/>
          </w:tcPr>
          <w:p w:rsidR="00EB14D2" w:rsidRDefault="00BC3D14">
            <w:pPr>
              <w:rPr>
                <w:sz w:val="24"/>
                <w:szCs w:val="24"/>
              </w:rPr>
            </w:pPr>
            <w:r w:rsidRPr="00BC3D14">
              <w:rPr>
                <w:sz w:val="24"/>
                <w:szCs w:val="24"/>
              </w:rPr>
              <w:t>Game species include northern pike, walleye, largemouth and smallmouth bass, yellow perch, whitefish, and lake trout</w:t>
            </w:r>
            <w:r>
              <w:rPr>
                <w:sz w:val="24"/>
                <w:szCs w:val="24"/>
              </w:rPr>
              <w:t>, among others</w:t>
            </w:r>
          </w:p>
        </w:tc>
      </w:tr>
      <w:tr w:rsidR="00EB14D2" w:rsidTr="00176CC9">
        <w:tc>
          <w:tcPr>
            <w:tcW w:w="1615" w:type="dxa"/>
          </w:tcPr>
          <w:p w:rsidR="00EB14D2" w:rsidRPr="00176CC9" w:rsidRDefault="00BC3D14" w:rsidP="00176C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6CC9">
              <w:rPr>
                <w:color w:val="000000" w:themeColor="text1"/>
                <w:sz w:val="24"/>
                <w:szCs w:val="24"/>
              </w:rPr>
              <w:t>Hiking</w:t>
            </w:r>
          </w:p>
        </w:tc>
        <w:tc>
          <w:tcPr>
            <w:tcW w:w="7735" w:type="dxa"/>
          </w:tcPr>
          <w:p w:rsidR="00EB14D2" w:rsidRDefault="00BC3D14">
            <w:pPr>
              <w:rPr>
                <w:sz w:val="24"/>
                <w:szCs w:val="24"/>
              </w:rPr>
            </w:pPr>
            <w:r w:rsidRPr="00BC3D14">
              <w:rPr>
                <w:sz w:val="24"/>
                <w:szCs w:val="24"/>
              </w:rPr>
              <w:t>The Border Route Trail runs east-west for over 60 miles (97 km) through the eastern BWCAW, following the ridges between the long border lakes such as Loon, South, and Rose.</w:t>
            </w:r>
          </w:p>
        </w:tc>
      </w:tr>
    </w:tbl>
    <w:p w:rsidR="00EB14D2" w:rsidRDefault="00EB14D2">
      <w:pPr>
        <w:rPr>
          <w:sz w:val="24"/>
          <w:szCs w:val="24"/>
        </w:rPr>
      </w:pPr>
    </w:p>
    <w:p w:rsidR="00EB79AF" w:rsidRPr="00EB14D2" w:rsidRDefault="00EB79AF" w:rsidP="00CB1C28">
      <w:pPr>
        <w:pStyle w:val="Heading2"/>
        <w:rPr>
          <w:color w:val="595959" w:themeColor="text1" w:themeTint="A6"/>
        </w:rPr>
      </w:pPr>
      <w:r w:rsidRPr="00EB14D2">
        <w:rPr>
          <w:color w:val="595959" w:themeColor="text1" w:themeTint="A6"/>
        </w:rPr>
        <w:t>Notable people associated with the BWCAW</w:t>
      </w:r>
    </w:p>
    <w:p w:rsidR="00EB14D2" w:rsidRPr="00EB14D2" w:rsidRDefault="00CB1C28" w:rsidP="00EB14D2">
      <w:pPr>
        <w:rPr>
          <w:sz w:val="24"/>
          <w:szCs w:val="24"/>
        </w:rPr>
      </w:pPr>
      <w:hyperlink r:id="rId6" w:history="1">
        <w:proofErr w:type="spellStart"/>
        <w:r w:rsidR="00EB14D2" w:rsidRPr="00CB1C28">
          <w:rPr>
            <w:rStyle w:val="Hyperlink"/>
            <w:sz w:val="24"/>
            <w:szCs w:val="24"/>
          </w:rPr>
          <w:t>Sigurd</w:t>
        </w:r>
        <w:proofErr w:type="spellEnd"/>
        <w:r w:rsidR="00EB14D2" w:rsidRPr="00CB1C28">
          <w:rPr>
            <w:rStyle w:val="Hyperlink"/>
            <w:sz w:val="24"/>
            <w:szCs w:val="24"/>
          </w:rPr>
          <w:t xml:space="preserve"> Olson</w:t>
        </w:r>
      </w:hyperlink>
      <w:r w:rsidR="00EB14D2" w:rsidRPr="00EB14D2">
        <w:rPr>
          <w:sz w:val="24"/>
          <w:szCs w:val="24"/>
        </w:rPr>
        <w:t>, Minnesota author and conservationist, wrote extensively about the Boundary Waters and worked to ensure preservation of the wilderness</w:t>
      </w:r>
      <w:r w:rsidR="00EB14D2">
        <w:rPr>
          <w:sz w:val="24"/>
          <w:szCs w:val="24"/>
        </w:rPr>
        <w:t>.</w:t>
      </w:r>
    </w:p>
    <w:p w:rsidR="00EB14D2" w:rsidRPr="00EB14D2" w:rsidRDefault="00EB14D2" w:rsidP="00EB14D2">
      <w:pPr>
        <w:rPr>
          <w:sz w:val="24"/>
          <w:szCs w:val="24"/>
        </w:rPr>
      </w:pPr>
      <w:r w:rsidRPr="00EB14D2">
        <w:rPr>
          <w:sz w:val="24"/>
          <w:szCs w:val="24"/>
        </w:rPr>
        <w:t xml:space="preserve">Dorothy </w:t>
      </w:r>
      <w:proofErr w:type="spellStart"/>
      <w:r w:rsidRPr="00EB14D2">
        <w:rPr>
          <w:sz w:val="24"/>
          <w:szCs w:val="24"/>
        </w:rPr>
        <w:t>Molter</w:t>
      </w:r>
      <w:proofErr w:type="spellEnd"/>
      <w:r w:rsidRPr="00EB14D2">
        <w:rPr>
          <w:sz w:val="24"/>
          <w:szCs w:val="24"/>
        </w:rPr>
        <w:t>, known as the "</w:t>
      </w:r>
      <w:proofErr w:type="spellStart"/>
      <w:r w:rsidRPr="00EB14D2">
        <w:rPr>
          <w:sz w:val="24"/>
          <w:szCs w:val="24"/>
        </w:rPr>
        <w:t>Rootbeer</w:t>
      </w:r>
      <w:proofErr w:type="spellEnd"/>
      <w:r w:rsidRPr="00EB14D2">
        <w:rPr>
          <w:sz w:val="24"/>
          <w:szCs w:val="24"/>
        </w:rPr>
        <w:t xml:space="preserve"> Lady," lived in the BWCAW for 56 years (alone after 1948) until her death in 1986, and was the last resident of the BWCA.</w:t>
      </w:r>
    </w:p>
    <w:p w:rsidR="00CB5587" w:rsidRPr="00EB79AF" w:rsidRDefault="00EB14D2">
      <w:pPr>
        <w:rPr>
          <w:sz w:val="24"/>
          <w:szCs w:val="24"/>
        </w:rPr>
      </w:pPr>
      <w:r w:rsidRPr="00EB14D2">
        <w:rPr>
          <w:sz w:val="24"/>
          <w:szCs w:val="24"/>
        </w:rPr>
        <w:t xml:space="preserve">Benny Ambrose lived alone on </w:t>
      </w:r>
      <w:proofErr w:type="spellStart"/>
      <w:r w:rsidRPr="00EB14D2">
        <w:rPr>
          <w:sz w:val="24"/>
          <w:szCs w:val="24"/>
        </w:rPr>
        <w:t>Ottertrack</w:t>
      </w:r>
      <w:proofErr w:type="spellEnd"/>
      <w:r w:rsidRPr="00EB14D2">
        <w:rPr>
          <w:sz w:val="24"/>
          <w:szCs w:val="24"/>
        </w:rPr>
        <w:t xml:space="preserve"> Lake until his death in 1982, leaving Dorothy </w:t>
      </w:r>
      <w:proofErr w:type="spellStart"/>
      <w:r w:rsidRPr="00EB14D2">
        <w:rPr>
          <w:sz w:val="24"/>
          <w:szCs w:val="24"/>
        </w:rPr>
        <w:t>Molter</w:t>
      </w:r>
      <w:proofErr w:type="spellEnd"/>
      <w:r w:rsidRPr="00EB14D2">
        <w:rPr>
          <w:sz w:val="24"/>
          <w:szCs w:val="24"/>
        </w:rPr>
        <w:t xml:space="preserve"> as the last remaining full-time resident.</w:t>
      </w:r>
    </w:p>
    <w:sectPr w:rsidR="00CB5587" w:rsidRPr="00EB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AF"/>
    <w:rsid w:val="00176CC9"/>
    <w:rsid w:val="003A385C"/>
    <w:rsid w:val="00B9160C"/>
    <w:rsid w:val="00BC3D14"/>
    <w:rsid w:val="00CB1C28"/>
    <w:rsid w:val="00CB5587"/>
    <w:rsid w:val="00EB14D2"/>
    <w:rsid w:val="00E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81808-4517-4BCF-92DB-EE370DCE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587"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C28"/>
    <w:pPr>
      <w:outlineLvl w:val="1"/>
    </w:pPr>
    <w:rPr>
      <w:b/>
      <w:color w:val="595959" w:themeColor="text1" w:themeTint="A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4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B14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B5587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1C28"/>
    <w:rPr>
      <w:b/>
      <w:color w:val="595959" w:themeColor="text1" w:themeTint="A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igurd_Olson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en.wikipedia.org/wiki/Boundary_Waters_Canoe_Area_Wilder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Boundary Waters Canoe Area Wilderness</dc:title>
  <dc:subject/>
  <dc:creator>Paula Schales</dc:creator>
  <cp:keywords/>
  <dc:description/>
  <cp:lastModifiedBy>FHDA</cp:lastModifiedBy>
  <cp:revision>2</cp:revision>
  <dcterms:created xsi:type="dcterms:W3CDTF">2015-09-28T21:27:00Z</dcterms:created>
  <dcterms:modified xsi:type="dcterms:W3CDTF">2015-09-28T21:27:00Z</dcterms:modified>
</cp:coreProperties>
</file>