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4A0A472" w14:textId="77777777" w:rsidR="006D08C2" w:rsidRDefault="00E717E5">
      <w:pPr>
        <w:pStyle w:val="BodyA"/>
        <w:ind w:left="2160" w:firstLine="720"/>
        <w:rPr>
          <w:rFonts w:ascii="Times New Roman" w:eastAsia="Times New Roman" w:hAnsi="Times New Roman" w:cs="Times New Roman"/>
          <w:b/>
          <w:bCs/>
          <w:sz w:val="28"/>
          <w:szCs w:val="28"/>
        </w:rPr>
      </w:pPr>
      <w:r>
        <w:rPr>
          <w:noProof/>
        </w:rPr>
        <w:drawing>
          <wp:anchor distT="0" distB="0" distL="0" distR="0" simplePos="0" relativeHeight="251657216" behindDoc="1" locked="0" layoutInCell="1" allowOverlap="1" wp14:anchorId="70A5483C" wp14:editId="0FD10F13">
            <wp:simplePos x="0" y="0"/>
            <wp:positionH relativeFrom="column">
              <wp:posOffset>0</wp:posOffset>
            </wp:positionH>
            <wp:positionV relativeFrom="line">
              <wp:posOffset>-412375</wp:posOffset>
            </wp:positionV>
            <wp:extent cx="1388324" cy="1328885"/>
            <wp:effectExtent l="0" t="0" r="0" b="0"/>
            <wp:wrapNone/>
            <wp:docPr id="1073741825" name="officeArt object" descr="Shape, arrow&#10;&#10;Description automatically generated"/>
            <wp:cNvGraphicFramePr/>
            <a:graphic xmlns:a="http://schemas.openxmlformats.org/drawingml/2006/main">
              <a:graphicData uri="http://schemas.openxmlformats.org/drawingml/2006/picture">
                <pic:pic xmlns:pic="http://schemas.openxmlformats.org/drawingml/2006/picture">
                  <pic:nvPicPr>
                    <pic:cNvPr id="1073741825" name="Shape, arrowDescription automatically generated" descr="Shape, arrowDescription automatically generated"/>
                    <pic:cNvPicPr>
                      <a:picLocks noChangeAspect="1"/>
                    </pic:cNvPicPr>
                  </pic:nvPicPr>
                  <pic:blipFill>
                    <a:blip r:embed="rId7"/>
                    <a:stretch>
                      <a:fillRect/>
                    </a:stretch>
                  </pic:blipFill>
                  <pic:spPr>
                    <a:xfrm>
                      <a:off x="0" y="0"/>
                      <a:ext cx="1388324" cy="1328885"/>
                    </a:xfrm>
                    <a:prstGeom prst="rect">
                      <a:avLst/>
                    </a:prstGeom>
                    <a:ln w="12700" cap="flat">
                      <a:noFill/>
                      <a:miter lim="400000"/>
                    </a:ln>
                    <a:effectLst/>
                  </pic:spPr>
                </pic:pic>
              </a:graphicData>
            </a:graphic>
          </wp:anchor>
        </w:drawing>
      </w:r>
      <w:r>
        <w:rPr>
          <w:rFonts w:ascii="Times New Roman" w:hAnsi="Times New Roman"/>
          <w:b/>
          <w:bCs/>
          <w:sz w:val="28"/>
          <w:szCs w:val="28"/>
        </w:rPr>
        <w:t>Program Mapping Team Meeting</w:t>
      </w:r>
    </w:p>
    <w:p w14:paraId="71D16C53" w14:textId="77777777" w:rsidR="006D08C2" w:rsidRDefault="00E717E5">
      <w:pPr>
        <w:pStyle w:val="BodyA"/>
        <w:jc w:val="center"/>
        <w:rPr>
          <w:rFonts w:ascii="Times New Roman" w:eastAsia="Times New Roman" w:hAnsi="Times New Roman" w:cs="Times New Roman"/>
          <w:sz w:val="23"/>
          <w:szCs w:val="23"/>
        </w:rPr>
      </w:pPr>
      <w:r>
        <w:rPr>
          <w:rFonts w:ascii="Times New Roman" w:hAnsi="Times New Roman"/>
          <w:sz w:val="23"/>
          <w:szCs w:val="23"/>
        </w:rPr>
        <w:t>Wednesday, May 19</w:t>
      </w:r>
      <w:r>
        <w:rPr>
          <w:rFonts w:ascii="Times New Roman" w:hAnsi="Times New Roman"/>
          <w:sz w:val="23"/>
          <w:szCs w:val="23"/>
          <w:vertAlign w:val="superscript"/>
        </w:rPr>
        <w:t>th</w:t>
      </w:r>
      <w:proofErr w:type="gramStart"/>
      <w:r>
        <w:rPr>
          <w:rFonts w:ascii="Times New Roman" w:hAnsi="Times New Roman"/>
          <w:sz w:val="23"/>
          <w:szCs w:val="23"/>
        </w:rPr>
        <w:t xml:space="preserve"> 2021</w:t>
      </w:r>
      <w:proofErr w:type="gramEnd"/>
    </w:p>
    <w:p w14:paraId="0A358DDD" w14:textId="77777777" w:rsidR="006D08C2" w:rsidRDefault="00E717E5">
      <w:pPr>
        <w:pStyle w:val="BodyA"/>
        <w:jc w:val="center"/>
        <w:rPr>
          <w:rFonts w:ascii="Times New Roman" w:eastAsia="Times New Roman" w:hAnsi="Times New Roman" w:cs="Times New Roman"/>
          <w:sz w:val="23"/>
          <w:szCs w:val="23"/>
        </w:rPr>
      </w:pPr>
      <w:r>
        <w:rPr>
          <w:rFonts w:ascii="Times New Roman" w:hAnsi="Times New Roman"/>
          <w:sz w:val="23"/>
          <w:szCs w:val="23"/>
        </w:rPr>
        <w:t>Minutes</w:t>
      </w:r>
    </w:p>
    <w:p w14:paraId="4390055E" w14:textId="77777777" w:rsidR="006D08C2" w:rsidRDefault="006D08C2">
      <w:pPr>
        <w:pStyle w:val="BodyAA"/>
        <w:jc w:val="both"/>
      </w:pPr>
    </w:p>
    <w:p w14:paraId="072AB5D4" w14:textId="77777777" w:rsidR="006D08C2" w:rsidRDefault="006D08C2">
      <w:pPr>
        <w:pStyle w:val="BodyAA"/>
        <w:jc w:val="both"/>
      </w:pPr>
    </w:p>
    <w:p w14:paraId="0C8E2EDB" w14:textId="77777777" w:rsidR="006D08C2" w:rsidRDefault="00E717E5">
      <w:pPr>
        <w:pStyle w:val="BodyAA"/>
        <w:jc w:val="both"/>
      </w:pPr>
      <w:r>
        <w:t xml:space="preserve">This meeting was devoted to providing a review of the questions raised about </w:t>
      </w:r>
      <w:r>
        <w:rPr>
          <w:b/>
          <w:bCs/>
        </w:rPr>
        <w:t xml:space="preserve">Program Mapper </w:t>
      </w:r>
      <w:r>
        <w:t xml:space="preserve">at the April meeting, </w:t>
      </w:r>
      <w:r>
        <w:t xml:space="preserve">an introduction to Digital Badging, and an update on </w:t>
      </w:r>
      <w:r>
        <w:rPr>
          <w:b/>
          <w:bCs/>
        </w:rPr>
        <w:t>Mapping Day and the Student Survey.</w:t>
      </w:r>
    </w:p>
    <w:p w14:paraId="45A83ACF" w14:textId="77777777" w:rsidR="006D08C2" w:rsidRDefault="006D08C2">
      <w:pPr>
        <w:pStyle w:val="BodyAA"/>
      </w:pPr>
    </w:p>
    <w:p w14:paraId="61E4FA54" w14:textId="77777777" w:rsidR="006D08C2" w:rsidRDefault="00E717E5">
      <w:pPr>
        <w:pStyle w:val="BodyAA"/>
      </w:pPr>
      <w:r>
        <w:rPr>
          <w:rFonts w:eastAsia="Arial Unicode MS" w:cs="Arial Unicode MS"/>
          <w:b/>
          <w:bCs/>
        </w:rPr>
        <w:t>Program Mapper Q&amp;A Review</w:t>
      </w:r>
    </w:p>
    <w:p w14:paraId="28644E45" w14:textId="77777777" w:rsidR="006D08C2" w:rsidRDefault="00E717E5">
      <w:pPr>
        <w:pStyle w:val="BodyAA"/>
        <w:numPr>
          <w:ilvl w:val="1"/>
          <w:numId w:val="2"/>
        </w:numPr>
        <w:jc w:val="both"/>
      </w:pPr>
      <w:r>
        <w:t xml:space="preserve">In response to questions raised at April’s meeting: </w:t>
      </w:r>
    </w:p>
    <w:p w14:paraId="2B1B7A2B" w14:textId="350AA87B" w:rsidR="006D08C2" w:rsidRDefault="00E717E5">
      <w:pPr>
        <w:pStyle w:val="BodyAA"/>
        <w:numPr>
          <w:ilvl w:val="2"/>
          <w:numId w:val="2"/>
        </w:numPr>
        <w:jc w:val="both"/>
      </w:pPr>
      <w:r>
        <w:t>Program Maps</w:t>
      </w:r>
      <w:r w:rsidR="004C344C">
        <w:t xml:space="preserve"> at Bakersfield College</w:t>
      </w:r>
      <w:r>
        <w:t>, begun in 2015, were not Systematic until 2019</w:t>
      </w:r>
    </w:p>
    <w:p w14:paraId="582A99F0" w14:textId="77777777" w:rsidR="006D08C2" w:rsidRDefault="00E717E5">
      <w:pPr>
        <w:pStyle w:val="BodyAA"/>
        <w:numPr>
          <w:ilvl w:val="2"/>
          <w:numId w:val="2"/>
        </w:numPr>
        <w:jc w:val="both"/>
      </w:pPr>
      <w:r>
        <w:t>The increase in focused stu</w:t>
      </w:r>
      <w:r>
        <w:t>dent course taking advances as mapping progresses, from 63% in 2016-17 to 78% in 2019-20</w:t>
      </w:r>
    </w:p>
    <w:p w14:paraId="75606F9D" w14:textId="77777777" w:rsidR="006D08C2" w:rsidRDefault="00E717E5">
      <w:pPr>
        <w:pStyle w:val="BodyAA"/>
        <w:numPr>
          <w:ilvl w:val="2"/>
          <w:numId w:val="2"/>
        </w:numPr>
        <w:jc w:val="both"/>
      </w:pPr>
      <w:r>
        <w:t xml:space="preserve">Equity Advances: The information on Craig Howard’s charts </w:t>
      </w:r>
      <w:proofErr w:type="gramStart"/>
      <w:r>
        <w:t>measure</w:t>
      </w:r>
      <w:proofErr w:type="gramEnd"/>
      <w:r>
        <w:t xml:space="preserve"> the rates of first time students who are currently enrolled at Bakersfield. Advances to the numbers o</w:t>
      </w:r>
      <w:r>
        <w:t xml:space="preserve">f students who were “on path” to complete their programs of study within two years increased as mapping efforts progressed, with Black student focused course taking advancing from 67% to 82%, Latinx students from 62% to 80%, and white students from 70% to </w:t>
      </w:r>
      <w:r>
        <w:t>81%</w:t>
      </w:r>
    </w:p>
    <w:p w14:paraId="0FA6DBAA" w14:textId="77777777" w:rsidR="006D08C2" w:rsidRDefault="00E717E5">
      <w:pPr>
        <w:pStyle w:val="BodyAA"/>
        <w:numPr>
          <w:ilvl w:val="2"/>
          <w:numId w:val="2"/>
        </w:numPr>
        <w:jc w:val="both"/>
      </w:pPr>
      <w:r>
        <w:t>An academic paper has not been published on Program Mapper’s equity advances, etc., but Craig has presented the initial findings at the “Student Success Conference” (October 2020) and the RP Focus Group (2020). A publication is in progress </w:t>
      </w:r>
      <w:r>
        <w:rPr>
          <w14:textFill>
            <w14:solidFill>
              <w14:srgbClr w14:val="000000">
                <w14:alpha w14:val="15294"/>
              </w14:srgbClr>
            </w14:solidFill>
          </w14:textFill>
        </w:rPr>
        <w:t xml:space="preserve"> </w:t>
      </w:r>
    </w:p>
    <w:p w14:paraId="0F45C587" w14:textId="77777777" w:rsidR="006D08C2" w:rsidRDefault="00E717E5">
      <w:pPr>
        <w:pStyle w:val="BodyAA"/>
        <w:numPr>
          <w:ilvl w:val="2"/>
          <w:numId w:val="2"/>
        </w:numPr>
        <w:jc w:val="both"/>
      </w:pPr>
      <w:r>
        <w:rPr>
          <w14:textFill>
            <w14:solidFill>
              <w14:srgbClr w14:val="000000">
                <w14:alpha w14:val="15294"/>
              </w14:srgbClr>
            </w14:solidFill>
          </w14:textFill>
        </w:rPr>
        <w:t>Moving for</w:t>
      </w:r>
      <w:r>
        <w:rPr>
          <w14:textFill>
            <w14:solidFill>
              <w14:srgbClr w14:val="000000">
                <w14:alpha w14:val="15294"/>
              </w14:srgbClr>
            </w14:solidFill>
          </w14:textFill>
        </w:rPr>
        <w:t xml:space="preserve">ward </w:t>
      </w:r>
      <w:r>
        <w:rPr>
          <w:b/>
          <w:bCs/>
          <w14:textFill>
            <w14:solidFill>
              <w14:srgbClr w14:val="000000">
                <w14:alpha w14:val="15294"/>
              </w14:srgbClr>
            </w14:solidFill>
          </w14:textFill>
        </w:rPr>
        <w:t>(ongoing action item)</w:t>
      </w:r>
      <w:r>
        <w:rPr>
          <w14:textFill>
            <w14:solidFill>
              <w14:srgbClr w14:val="000000">
                <w14:alpha w14:val="15294"/>
              </w14:srgbClr>
            </w14:solidFill>
          </w14:textFill>
        </w:rPr>
        <w:t xml:space="preserve">: we (Foothill GP) can address some of the questions we have of Program Mapper </w:t>
      </w:r>
      <w:proofErr w:type="gramStart"/>
      <w:r>
        <w:rPr>
          <w14:textFill>
            <w14:solidFill>
              <w14:srgbClr w14:val="000000">
                <w14:alpha w14:val="15294"/>
              </w14:srgbClr>
            </w14:solidFill>
          </w14:textFill>
        </w:rPr>
        <w:t>in regards to</w:t>
      </w:r>
      <w:proofErr w:type="gramEnd"/>
      <w:r>
        <w:rPr>
          <w14:textFill>
            <w14:solidFill>
              <w14:srgbClr w14:val="000000">
                <w14:alpha w14:val="15294"/>
              </w14:srgbClr>
            </w14:solidFill>
          </w14:textFill>
        </w:rPr>
        <w:t xml:space="preserve"> our own students by looking at disaggregated data for trends in course taking and completion rates pre- and post-adoption of </w:t>
      </w:r>
      <w:r>
        <w:rPr>
          <w14:textFill>
            <w14:solidFill>
              <w14:srgbClr w14:val="000000">
                <w14:alpha w14:val="15294"/>
              </w14:srgbClr>
            </w14:solidFill>
          </w14:textFill>
        </w:rPr>
        <w:t>program maps (and potentially Program Mapper)</w:t>
      </w:r>
      <w:r>
        <w:rPr>
          <w:rFonts w:ascii="Arial" w:eastAsia="Arial" w:hAnsi="Arial" w:cs="Arial"/>
          <w:sz w:val="28"/>
          <w:szCs w:val="28"/>
          <w:shd w:val="clear" w:color="auto" w:fill="FFFFFF"/>
          <w14:textFill>
            <w14:solidFill>
              <w14:srgbClr w14:val="000000">
                <w14:alpha w14:val="15294"/>
              </w14:srgbClr>
            </w14:solidFill>
          </w14:textFill>
        </w:rPr>
        <w:br/>
      </w:r>
    </w:p>
    <w:p w14:paraId="566CEE6D" w14:textId="77777777" w:rsidR="006D08C2" w:rsidRDefault="00E717E5">
      <w:pPr>
        <w:pStyle w:val="BodyAA"/>
        <w:jc w:val="both"/>
        <w:rPr>
          <w:b/>
          <w:bCs/>
        </w:rPr>
      </w:pPr>
      <w:r>
        <w:rPr>
          <w:b/>
          <w:bCs/>
        </w:rPr>
        <w:t>Digital Badging</w:t>
      </w:r>
    </w:p>
    <w:p w14:paraId="2C03A1EB" w14:textId="46DC5763" w:rsidR="006D08C2" w:rsidRDefault="00E717E5">
      <w:pPr>
        <w:pStyle w:val="BodyAA"/>
        <w:numPr>
          <w:ilvl w:val="1"/>
          <w:numId w:val="2"/>
        </w:numPr>
        <w:jc w:val="both"/>
      </w:pPr>
      <w:r>
        <w:t>Discussion of how F</w:t>
      </w:r>
      <w:r w:rsidR="004C344C">
        <w:t xml:space="preserve">oundation for </w:t>
      </w:r>
      <w:r>
        <w:t>C</w:t>
      </w:r>
      <w:r w:rsidR="004C344C">
        <w:t xml:space="preserve">alifornia </w:t>
      </w:r>
      <w:r>
        <w:t>C</w:t>
      </w:r>
      <w:r w:rsidR="004C344C">
        <w:t>ommunity Colleges</w:t>
      </w:r>
      <w:r>
        <w:t xml:space="preserve"> adopted New World of Work </w:t>
      </w:r>
      <w:r w:rsidR="004C344C">
        <w:t xml:space="preserve">(NWOW) </w:t>
      </w:r>
      <w:r>
        <w:t>skills framework to provide digital badging to show students have earned skills that employers find desirable Point: enables students to see ho</w:t>
      </w:r>
      <w:r>
        <w:t>w their programs of study align with labor market trends, what will contribute to finding a job, etc.</w:t>
      </w:r>
    </w:p>
    <w:p w14:paraId="22678871" w14:textId="77777777" w:rsidR="006D08C2" w:rsidRDefault="00E717E5">
      <w:pPr>
        <w:pStyle w:val="BodyAA"/>
        <w:numPr>
          <w:ilvl w:val="1"/>
          <w:numId w:val="2"/>
        </w:numPr>
        <w:jc w:val="both"/>
      </w:pPr>
      <w:r>
        <w:lastRenderedPageBreak/>
        <w:t>Badges provide a common language to discuss skills (that employers value) and SLOs (what students are already learning in their programs of study)</w:t>
      </w:r>
    </w:p>
    <w:p w14:paraId="78EA293E" w14:textId="77777777" w:rsidR="006D08C2" w:rsidRDefault="00E717E5">
      <w:pPr>
        <w:pStyle w:val="BodyAA"/>
        <w:numPr>
          <w:ilvl w:val="1"/>
          <w:numId w:val="2"/>
        </w:numPr>
        <w:jc w:val="both"/>
      </w:pPr>
      <w:r>
        <w:t>10 digi</w:t>
      </w:r>
      <w:r>
        <w:t>tal badges coincide with top 10 skills that employers say they want throughout the state of California</w:t>
      </w:r>
    </w:p>
    <w:p w14:paraId="4A3D39B1" w14:textId="77777777" w:rsidR="006D08C2" w:rsidRDefault="00E717E5">
      <w:pPr>
        <w:pStyle w:val="BodyAA"/>
        <w:numPr>
          <w:ilvl w:val="1"/>
          <w:numId w:val="2"/>
        </w:numPr>
        <w:jc w:val="both"/>
      </w:pPr>
      <w:r>
        <w:t>To earn badges, students demonstrate proficiency in skills that trained professors sign off on based on course work</w:t>
      </w:r>
    </w:p>
    <w:p w14:paraId="29DB130B" w14:textId="77777777" w:rsidR="006D08C2" w:rsidRDefault="00E717E5">
      <w:pPr>
        <w:pStyle w:val="BodyAA"/>
        <w:numPr>
          <w:ilvl w:val="1"/>
          <w:numId w:val="2"/>
        </w:numPr>
        <w:jc w:val="both"/>
      </w:pPr>
      <w:r>
        <w:t>Schools use these same badges even wi</w:t>
      </w:r>
      <w:r>
        <w:t>thout training from NWOW because they provide a common language of skills that can be used</w:t>
      </w:r>
    </w:p>
    <w:p w14:paraId="54765B5F" w14:textId="167ED5FB" w:rsidR="006D08C2" w:rsidRDefault="00E717E5">
      <w:pPr>
        <w:pStyle w:val="BodyAA"/>
        <w:numPr>
          <w:ilvl w:val="1"/>
          <w:numId w:val="2"/>
        </w:numPr>
        <w:jc w:val="both"/>
      </w:pPr>
      <w:r>
        <w:t xml:space="preserve">Example of how Chaffey College has adopted these NWOW skills and incorporated them into their GP efforts. Chaffey worked with </w:t>
      </w:r>
      <w:proofErr w:type="spellStart"/>
      <w:r>
        <w:t>WestEd</w:t>
      </w:r>
      <w:proofErr w:type="spellEnd"/>
      <w:r>
        <w:t xml:space="preserve"> determine top program skills and</w:t>
      </w:r>
      <w:r>
        <w:t xml:space="preserve"> assigned meta majors (academic and career communities) based on common skills, which they have color-coded.</w:t>
      </w:r>
    </w:p>
    <w:p w14:paraId="5B9C2533" w14:textId="77777777" w:rsidR="006D08C2" w:rsidRDefault="00E717E5" w:rsidP="00196B7B">
      <w:pPr>
        <w:pStyle w:val="BodyAA"/>
        <w:jc w:val="both"/>
      </w:pPr>
      <w:r>
        <w:t>Chaffey designed their programs with the intent of students gaining employability skills, regardless of the course curriculum, per se (ex. Thinking</w:t>
      </w:r>
      <w:r>
        <w:t xml:space="preserve"> about how classical literature classes might benefit a student who majored in this but is not necessarily working in the field: reading comprehension, analysis, etc.)</w:t>
      </w:r>
    </w:p>
    <w:p w14:paraId="104BFFA1" w14:textId="77777777" w:rsidR="006D08C2" w:rsidRDefault="00E717E5">
      <w:pPr>
        <w:pStyle w:val="BodyAA"/>
        <w:numPr>
          <w:ilvl w:val="1"/>
          <w:numId w:val="2"/>
        </w:numPr>
        <w:jc w:val="both"/>
      </w:pPr>
      <w:r>
        <w:t>Moving Forward: We can follow Chaffey’s example by clearly indicating the top common ski</w:t>
      </w:r>
      <w:r>
        <w:t xml:space="preserve">lls for programs. If adopting Program Mapper, we can do this on the program landing page (as well as the Meta Major landing page). It would be great to do this with color coding and perhaps badging, but further conversation needs to be had (perhaps with </w:t>
      </w:r>
      <w:proofErr w:type="spellStart"/>
      <w:r>
        <w:t>Le</w:t>
      </w:r>
      <w:r>
        <w:t>né</w:t>
      </w:r>
      <w:proofErr w:type="spellEnd"/>
      <w:r>
        <w:t xml:space="preserve"> and Carolyn).</w:t>
      </w:r>
    </w:p>
    <w:p w14:paraId="4E9A7EC2" w14:textId="77777777" w:rsidR="006D08C2" w:rsidRDefault="00E717E5">
      <w:pPr>
        <w:pStyle w:val="BodyAA"/>
        <w:numPr>
          <w:ilvl w:val="1"/>
          <w:numId w:val="2"/>
        </w:numPr>
        <w:jc w:val="both"/>
      </w:pPr>
      <w:r>
        <w:t xml:space="preserve">Initial Q&amp;A: </w:t>
      </w:r>
    </w:p>
    <w:p w14:paraId="17FDA5F5" w14:textId="77777777" w:rsidR="006D08C2" w:rsidRDefault="00E717E5">
      <w:pPr>
        <w:pStyle w:val="BodyAA"/>
        <w:numPr>
          <w:ilvl w:val="2"/>
          <w:numId w:val="2"/>
        </w:numPr>
        <w:jc w:val="both"/>
      </w:pPr>
      <w:r>
        <w:t xml:space="preserve">How would students show their badges? Answer: uploaded to Canvas &amp; LinkedIn </w:t>
      </w:r>
    </w:p>
    <w:p w14:paraId="78D4546F" w14:textId="77777777" w:rsidR="006D08C2" w:rsidRDefault="00E717E5">
      <w:pPr>
        <w:pStyle w:val="BodyAA"/>
        <w:numPr>
          <w:ilvl w:val="2"/>
          <w:numId w:val="2"/>
        </w:numPr>
        <w:jc w:val="both"/>
      </w:pPr>
      <w:r>
        <w:t>Have we identified instructors who are interested in training in badges? Answer: yes, but further conversations need to be had.</w:t>
      </w:r>
    </w:p>
    <w:p w14:paraId="04B81B84" w14:textId="77777777" w:rsidR="006D08C2" w:rsidRDefault="00E717E5">
      <w:pPr>
        <w:pStyle w:val="BodyAA"/>
        <w:numPr>
          <w:ilvl w:val="2"/>
          <w:numId w:val="2"/>
        </w:numPr>
        <w:jc w:val="both"/>
      </w:pPr>
      <w:r>
        <w:t xml:space="preserve">What would </w:t>
      </w:r>
      <w:r>
        <w:t>instructors have to do? Answer: upload rubrics, designated by the college (office of instruction); rubrics would be campus wide according to Chaffey’s model—the rubric is easy to fill out and takes about 5 minutes, if that</w:t>
      </w:r>
    </w:p>
    <w:p w14:paraId="26044DBA" w14:textId="77777777" w:rsidR="006D08C2" w:rsidRDefault="00E717E5">
      <w:pPr>
        <w:pStyle w:val="BodyAA"/>
        <w:numPr>
          <w:ilvl w:val="2"/>
          <w:numId w:val="2"/>
        </w:numPr>
        <w:jc w:val="both"/>
      </w:pPr>
      <w:r>
        <w:t>Laura mentioned that it would hel</w:t>
      </w:r>
      <w:r>
        <w:t>p if there was a centralized group of people thinking about and working on badges/badging at Foothill—there’s an idea and want to do this, so it would be good to get it off the ground</w:t>
      </w:r>
    </w:p>
    <w:p w14:paraId="0E26A9F2" w14:textId="77777777" w:rsidR="006D08C2" w:rsidRDefault="00E717E5">
      <w:pPr>
        <w:pStyle w:val="BodyAA"/>
        <w:numPr>
          <w:ilvl w:val="2"/>
          <w:numId w:val="2"/>
        </w:numPr>
        <w:jc w:val="both"/>
      </w:pPr>
      <w:r>
        <w:t xml:space="preserve">Fatima suggests talking more with </w:t>
      </w:r>
      <w:proofErr w:type="spellStart"/>
      <w:r>
        <w:t>Lené</w:t>
      </w:r>
      <w:proofErr w:type="spellEnd"/>
      <w:r>
        <w:t xml:space="preserve"> </w:t>
      </w:r>
      <w:proofErr w:type="gramStart"/>
      <w:r>
        <w:t>in regards to</w:t>
      </w:r>
      <w:proofErr w:type="gramEnd"/>
      <w:r>
        <w:t xml:space="preserve"> how we would implem</w:t>
      </w:r>
      <w:r>
        <w:t>ent this</w:t>
      </w:r>
    </w:p>
    <w:p w14:paraId="7C52666D" w14:textId="77777777" w:rsidR="006D08C2" w:rsidRDefault="006D08C2">
      <w:pPr>
        <w:pStyle w:val="BodyAA"/>
        <w:jc w:val="both"/>
      </w:pPr>
    </w:p>
    <w:p w14:paraId="003068AD" w14:textId="77777777" w:rsidR="006D08C2" w:rsidRDefault="006D08C2">
      <w:pPr>
        <w:pStyle w:val="BodyAA"/>
        <w:jc w:val="both"/>
      </w:pPr>
    </w:p>
    <w:p w14:paraId="5C2C58BD" w14:textId="77777777" w:rsidR="006D08C2" w:rsidRDefault="00E717E5">
      <w:pPr>
        <w:pStyle w:val="BodyAA"/>
        <w:jc w:val="both"/>
        <w:rPr>
          <w:b/>
          <w:bCs/>
        </w:rPr>
      </w:pPr>
      <w:r>
        <w:rPr>
          <w:b/>
          <w:bCs/>
        </w:rPr>
        <w:lastRenderedPageBreak/>
        <w:t>Mapping Progress &amp; Mapping Day Plans</w:t>
      </w:r>
    </w:p>
    <w:p w14:paraId="4921CA7D" w14:textId="6B8BD4E4" w:rsidR="004C344C" w:rsidRDefault="004C344C">
      <w:pPr>
        <w:pStyle w:val="BodyAA"/>
        <w:numPr>
          <w:ilvl w:val="1"/>
          <w:numId w:val="2"/>
        </w:numPr>
        <w:jc w:val="both"/>
      </w:pPr>
      <w:r>
        <w:t>15 departments participated in Mapping Day</w:t>
      </w:r>
    </w:p>
    <w:p w14:paraId="1CA2F6F7" w14:textId="4B4CFAF3" w:rsidR="004C344C" w:rsidRDefault="00E717E5">
      <w:pPr>
        <w:pStyle w:val="BodyAA"/>
        <w:numPr>
          <w:ilvl w:val="1"/>
          <w:numId w:val="2"/>
        </w:numPr>
        <w:jc w:val="both"/>
      </w:pPr>
      <w:r>
        <w:t>Update: We now have enough maps completed (54</w:t>
      </w:r>
      <w:r w:rsidR="004C344C">
        <w:t xml:space="preserve"> department approved </w:t>
      </w:r>
      <w:r>
        <w:t>+20</w:t>
      </w:r>
      <w:r w:rsidR="004C344C">
        <w:t xml:space="preserve"> anticipated</w:t>
      </w:r>
      <w:r>
        <w:t xml:space="preserve"> in the next couple of weeks) to think about predictive scheduling. </w:t>
      </w:r>
    </w:p>
    <w:p w14:paraId="2C5524BA" w14:textId="0D38ECA9" w:rsidR="006D08C2" w:rsidRDefault="004C344C">
      <w:pPr>
        <w:pStyle w:val="BodyAA"/>
        <w:numPr>
          <w:ilvl w:val="1"/>
          <w:numId w:val="2"/>
        </w:numPr>
        <w:jc w:val="both"/>
      </w:pPr>
      <w:r>
        <w:t>Fatima met with the Deans to begin conversation about how to use maps to inform</w:t>
      </w:r>
      <w:r w:rsidR="00E717E5">
        <w:t xml:space="preserve"> when courses will be offered</w:t>
      </w:r>
      <w:r>
        <w:t>.</w:t>
      </w:r>
    </w:p>
    <w:p w14:paraId="5C00AF0A" w14:textId="607699C4" w:rsidR="00196B7B" w:rsidRDefault="00196B7B">
      <w:pPr>
        <w:pStyle w:val="BodyAA"/>
        <w:numPr>
          <w:ilvl w:val="1"/>
          <w:numId w:val="2"/>
        </w:numPr>
        <w:jc w:val="both"/>
      </w:pPr>
      <w:r>
        <w:t xml:space="preserve">Deans were asked to review the approved maps in their </w:t>
      </w:r>
      <w:proofErr w:type="gramStart"/>
      <w:r>
        <w:t>Division</w:t>
      </w:r>
      <w:proofErr w:type="gramEnd"/>
      <w:r>
        <w:t xml:space="preserve"> and make notes of areas of concern</w:t>
      </w:r>
    </w:p>
    <w:p w14:paraId="40F5E63F" w14:textId="0C50AA5B" w:rsidR="00196B7B" w:rsidRDefault="00196B7B" w:rsidP="00196B7B">
      <w:pPr>
        <w:pStyle w:val="BodyAA"/>
        <w:numPr>
          <w:ilvl w:val="1"/>
          <w:numId w:val="2"/>
        </w:numPr>
        <w:jc w:val="both"/>
      </w:pPr>
      <w:r>
        <w:t xml:space="preserve">A </w:t>
      </w:r>
      <w:r>
        <w:t>challenge that arose w</w:t>
      </w:r>
      <w:r>
        <w:t>as</w:t>
      </w:r>
      <w:r>
        <w:t xml:space="preserve"> around courses with low enrollment</w:t>
      </w:r>
      <w:r>
        <w:t xml:space="preserve"> that were required for the degree</w:t>
      </w:r>
    </w:p>
    <w:p w14:paraId="28D16952" w14:textId="0DA42DBE" w:rsidR="00196B7B" w:rsidRDefault="00196B7B" w:rsidP="00196B7B">
      <w:pPr>
        <w:pStyle w:val="BodyAA"/>
        <w:numPr>
          <w:ilvl w:val="1"/>
          <w:numId w:val="2"/>
        </w:numPr>
        <w:jc w:val="both"/>
      </w:pPr>
      <w:r>
        <w:t xml:space="preserve">Scheduling may have to become more a college wide process versus a </w:t>
      </w:r>
      <w:proofErr w:type="gramStart"/>
      <w:r>
        <w:t>Division</w:t>
      </w:r>
      <w:proofErr w:type="gramEnd"/>
      <w:r>
        <w:t>/dept process since General Education and Elective courses on the Program Map come from outside of the Department</w:t>
      </w:r>
    </w:p>
    <w:p w14:paraId="6E7B8CD7" w14:textId="28779EE1" w:rsidR="00196B7B" w:rsidRDefault="00196B7B" w:rsidP="00196B7B">
      <w:pPr>
        <w:pStyle w:val="BodyAA"/>
        <w:numPr>
          <w:ilvl w:val="1"/>
          <w:numId w:val="2"/>
        </w:numPr>
        <w:jc w:val="both"/>
      </w:pPr>
      <w:r>
        <w:t>Fatima shared</w:t>
      </w:r>
      <w:r w:rsidR="00E8368F">
        <w:t xml:space="preserve"> with the Deans </w:t>
      </w:r>
      <w:r>
        <w:t>that Bakersfield College was now using software to help with scheduling.</w:t>
      </w:r>
      <w:r w:rsidR="00E8368F">
        <w:t xml:space="preserve"> </w:t>
      </w:r>
    </w:p>
    <w:p w14:paraId="596EC22B" w14:textId="651E7955" w:rsidR="006D08C2" w:rsidRDefault="00E717E5">
      <w:pPr>
        <w:pStyle w:val="BodyAA"/>
        <w:numPr>
          <w:ilvl w:val="1"/>
          <w:numId w:val="2"/>
        </w:numPr>
        <w:jc w:val="both"/>
      </w:pPr>
      <w:r>
        <w:t xml:space="preserve">We also need to think about how to publish the maps. The PDF forms are problematic, so maybe uploading directly on course pages is the better option. This may also solve not having all of the </w:t>
      </w:r>
      <w:r>
        <w:t>program notes visible as they are now on the maps that have been created if we implement Program Mapper.</w:t>
      </w:r>
    </w:p>
    <w:p w14:paraId="5D2191B6" w14:textId="3DC3EA88" w:rsidR="004C344C" w:rsidRDefault="004C344C">
      <w:pPr>
        <w:pStyle w:val="BodyAA"/>
        <w:numPr>
          <w:ilvl w:val="1"/>
          <w:numId w:val="2"/>
        </w:numPr>
        <w:jc w:val="both"/>
      </w:pPr>
      <w:r>
        <w:t xml:space="preserve">Another option when publishing maps is creating a table on a webpage for each program map. This way, we can keep the notes and the </w:t>
      </w:r>
      <w:proofErr w:type="gramStart"/>
      <w:r>
        <w:t>quarter by quarter</w:t>
      </w:r>
      <w:proofErr w:type="gramEnd"/>
      <w:r>
        <w:t xml:space="preserve"> Counseling reminders without the accessibility issues of the PDFs </w:t>
      </w:r>
    </w:p>
    <w:p w14:paraId="091BDA38" w14:textId="77777777" w:rsidR="006D08C2" w:rsidRDefault="006D08C2">
      <w:pPr>
        <w:pStyle w:val="BodyA"/>
      </w:pPr>
    </w:p>
    <w:p w14:paraId="0C8F4DB8" w14:textId="6243223B" w:rsidR="006D08C2" w:rsidRDefault="00E717E5">
      <w:pPr>
        <w:pStyle w:val="BodyA"/>
      </w:pPr>
      <w:r>
        <w:rPr>
          <w:b/>
          <w:bCs/>
          <w:lang w:val="fr-FR"/>
        </w:rPr>
        <w:t xml:space="preserve">In </w:t>
      </w:r>
      <w:proofErr w:type="spellStart"/>
      <w:proofErr w:type="gramStart"/>
      <w:r>
        <w:rPr>
          <w:b/>
          <w:bCs/>
          <w:lang w:val="fr-FR"/>
        </w:rPr>
        <w:t>attendance</w:t>
      </w:r>
      <w:proofErr w:type="spellEnd"/>
      <w:r>
        <w:rPr>
          <w:lang w:val="da-DK"/>
        </w:rPr>
        <w:t>:</w:t>
      </w:r>
      <w:proofErr w:type="gramEnd"/>
      <w:r>
        <w:rPr>
          <w:lang w:val="da-DK"/>
        </w:rPr>
        <w:t xml:space="preserve"> Luis Carillo, Hilda Fernandez, Laura </w:t>
      </w:r>
      <w:proofErr w:type="spellStart"/>
      <w:r>
        <w:rPr>
          <w:lang w:val="da-DK"/>
        </w:rPr>
        <w:t>Gamez</w:t>
      </w:r>
      <w:proofErr w:type="spellEnd"/>
      <w:r>
        <w:rPr>
          <w:lang w:val="da-DK"/>
        </w:rPr>
        <w:t xml:space="preserve">, Evan </w:t>
      </w:r>
      <w:proofErr w:type="spellStart"/>
      <w:r>
        <w:rPr>
          <w:lang w:val="da-DK"/>
        </w:rPr>
        <w:t>Gilstrap</w:t>
      </w:r>
      <w:proofErr w:type="spellEnd"/>
      <w:r>
        <w:rPr>
          <w:lang w:val="da-DK"/>
        </w:rPr>
        <w:t xml:space="preserve">, Fatima </w:t>
      </w:r>
      <w:proofErr w:type="spellStart"/>
      <w:r>
        <w:rPr>
          <w:lang w:val="da-DK"/>
        </w:rPr>
        <w:t>Jinnah</w:t>
      </w:r>
      <w:proofErr w:type="spellEnd"/>
      <w:r>
        <w:rPr>
          <w:lang w:val="da-DK"/>
        </w:rPr>
        <w:t xml:space="preserve">,  Natalie </w:t>
      </w:r>
      <w:proofErr w:type="spellStart"/>
      <w:r>
        <w:rPr>
          <w:lang w:val="da-DK"/>
        </w:rPr>
        <w:t>Latteri</w:t>
      </w:r>
      <w:proofErr w:type="spellEnd"/>
      <w:r>
        <w:rPr>
          <w:lang w:val="da-DK"/>
        </w:rPr>
        <w:t>, Amy Leonard</w:t>
      </w:r>
      <w:r w:rsidR="004C344C">
        <w:rPr>
          <w:lang w:val="da-DK"/>
        </w:rPr>
        <w:t>, Sophia Kim</w:t>
      </w:r>
    </w:p>
    <w:sectPr w:rsidR="006D08C2">
      <w:headerReference w:type="default" r:id="rId8"/>
      <w:footerReference w:type="even" r:id="rId9"/>
      <w:footerReference w:type="default" r:id="rId10"/>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F9F5566" w14:textId="77777777" w:rsidR="00E717E5" w:rsidRDefault="00E717E5">
      <w:r>
        <w:separator/>
      </w:r>
    </w:p>
  </w:endnote>
  <w:endnote w:type="continuationSeparator" w:id="0">
    <w:p w14:paraId="459E33B6" w14:textId="77777777" w:rsidR="00E717E5" w:rsidRDefault="00E717E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Helvetica Neue">
    <w:altName w:val="Helvetica Neue"/>
    <w:panose1 w:val="02000503000000020004"/>
    <w:charset w:val="00"/>
    <w:family w:val="auto"/>
    <w:pitch w:val="variable"/>
    <w:sig w:usb0="E50002FF" w:usb1="500079DB" w:usb2="00000010" w:usb3="00000000" w:csb0="00000001"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1069186811"/>
      <w:docPartObj>
        <w:docPartGallery w:val="Page Numbers (Bottom of Page)"/>
        <w:docPartUnique/>
      </w:docPartObj>
    </w:sdtPr>
    <w:sdtContent>
      <w:p w14:paraId="40ABC328" w14:textId="4D1F007B" w:rsidR="00E8368F" w:rsidRDefault="00E8368F" w:rsidP="00F321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3EE70B5D" w14:textId="77777777" w:rsidR="00E8368F" w:rsidRDefault="00E8368F" w:rsidP="00E8368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eNumber"/>
      </w:rPr>
      <w:id w:val="-618142949"/>
      <w:docPartObj>
        <w:docPartGallery w:val="Page Numbers (Bottom of Page)"/>
        <w:docPartUnique/>
      </w:docPartObj>
    </w:sdtPr>
    <w:sdtContent>
      <w:p w14:paraId="7F35D410" w14:textId="1F7EB8D7" w:rsidR="00E8368F" w:rsidRDefault="00E8368F" w:rsidP="00F321C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2B0FCB35" w14:textId="77777777" w:rsidR="006D08C2" w:rsidRDefault="006D08C2" w:rsidP="00E8368F">
    <w:pPr>
      <w:pStyle w:val="Header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5D1671" w14:textId="77777777" w:rsidR="00E717E5" w:rsidRDefault="00E717E5">
      <w:r>
        <w:separator/>
      </w:r>
    </w:p>
  </w:footnote>
  <w:footnote w:type="continuationSeparator" w:id="0">
    <w:p w14:paraId="784EF92B" w14:textId="77777777" w:rsidR="00E717E5" w:rsidRDefault="00E717E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705F25" w14:textId="77777777" w:rsidR="006D08C2" w:rsidRDefault="006D08C2">
    <w:pPr>
      <w:pStyle w:val="HeaderFoo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43322034"/>
    <w:multiLevelType w:val="hybridMultilevel"/>
    <w:tmpl w:val="3F9A8132"/>
    <w:styleLink w:val="BulletBig"/>
    <w:lvl w:ilvl="0" w:tplc="CB40CE8A">
      <w:start w:val="1"/>
      <w:numFmt w:val="bullet"/>
      <w:lvlText w:val="•"/>
      <w:lvlJc w:val="left"/>
      <w:pPr>
        <w:ind w:left="2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1" w:tplc="39B439E0">
      <w:start w:val="1"/>
      <w:numFmt w:val="bullet"/>
      <w:lvlText w:val="•"/>
      <w:lvlJc w:val="left"/>
      <w:pPr>
        <w:ind w:left="5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2" w:tplc="C77691A4">
      <w:start w:val="1"/>
      <w:numFmt w:val="bullet"/>
      <w:lvlText w:val="•"/>
      <w:lvlJc w:val="left"/>
      <w:pPr>
        <w:ind w:left="7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3" w:tplc="AB6CF9EC">
      <w:start w:val="1"/>
      <w:numFmt w:val="bullet"/>
      <w:lvlText w:val="•"/>
      <w:lvlJc w:val="left"/>
      <w:pPr>
        <w:ind w:left="9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4" w:tplc="9A760768">
      <w:start w:val="1"/>
      <w:numFmt w:val="bullet"/>
      <w:lvlText w:val="•"/>
      <w:lvlJc w:val="left"/>
      <w:pPr>
        <w:ind w:left="122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5" w:tplc="97BED584">
      <w:start w:val="1"/>
      <w:numFmt w:val="bullet"/>
      <w:lvlText w:val="•"/>
      <w:lvlJc w:val="left"/>
      <w:pPr>
        <w:ind w:left="146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6" w:tplc="C4FC8ADC">
      <w:start w:val="1"/>
      <w:numFmt w:val="bullet"/>
      <w:lvlText w:val="•"/>
      <w:lvlJc w:val="left"/>
      <w:pPr>
        <w:ind w:left="170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7" w:tplc="8FB4622E">
      <w:start w:val="1"/>
      <w:numFmt w:val="bullet"/>
      <w:lvlText w:val="•"/>
      <w:lvlJc w:val="left"/>
      <w:pPr>
        <w:ind w:left="194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lvl w:ilvl="8" w:tplc="EBD60B6E">
      <w:start w:val="1"/>
      <w:numFmt w:val="bullet"/>
      <w:lvlText w:val="•"/>
      <w:lvlJc w:val="left"/>
      <w:pPr>
        <w:ind w:left="2182" w:hanging="262"/>
      </w:pPr>
      <w:rPr>
        <w:rFonts w:ascii="Helvetica Neue" w:eastAsia="Helvetica Neue" w:hAnsi="Helvetica Neue" w:cs="Helvetica Neue"/>
        <w:b w:val="0"/>
        <w:bCs w:val="0"/>
        <w:i w:val="0"/>
        <w:iCs w:val="0"/>
        <w:caps w:val="0"/>
        <w:smallCaps w:val="0"/>
        <w:strike w:val="0"/>
        <w:dstrike w:val="0"/>
        <w:outline w:val="0"/>
        <w:emboss w:val="0"/>
        <w:imprint w:val="0"/>
        <w:spacing w:val="0"/>
        <w:w w:val="100"/>
        <w:kern w:val="0"/>
        <w:position w:val="0"/>
        <w:sz w:val="29"/>
        <w:szCs w:val="29"/>
        <w:highlight w:val="none"/>
        <w:vertAlign w:val="baseline"/>
      </w:rPr>
    </w:lvl>
  </w:abstractNum>
  <w:abstractNum w:abstractNumId="1" w15:restartNumberingAfterBreak="0">
    <w:nsid w:val="5F1A2560"/>
    <w:multiLevelType w:val="hybridMultilevel"/>
    <w:tmpl w:val="3F9A8132"/>
    <w:numStyleLink w:val="BulletBig"/>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4"/>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08C2"/>
    <w:rsid w:val="00196B7B"/>
    <w:rsid w:val="0037073A"/>
    <w:rsid w:val="004C344C"/>
    <w:rsid w:val="006D08C2"/>
    <w:rsid w:val="00E717E5"/>
    <w:rsid w:val="00E836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7C4A54"/>
  <w15:docId w15:val="{EBA4F8A1-53EF-4944-A389-EC901C810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A">
    <w:name w:val="Body A"/>
    <w:rPr>
      <w:rFonts w:ascii="Calibri" w:hAnsi="Calibri" w:cs="Arial Unicode MS"/>
      <w:color w:val="000000"/>
      <w:sz w:val="24"/>
      <w:szCs w:val="24"/>
      <w:u w:color="000000"/>
      <w14:textOutline w14:w="12700" w14:cap="flat" w14:cmpd="sng" w14:algn="ctr">
        <w14:noFill/>
        <w14:prstDash w14:val="solid"/>
        <w14:miter w14:lim="400000"/>
      </w14:textOutline>
    </w:rPr>
  </w:style>
  <w:style w:type="paragraph" w:customStyle="1" w:styleId="BodyAA">
    <w:name w:val="Body A A"/>
    <w:pPr>
      <w:spacing w:before="160"/>
    </w:pPr>
    <w:rPr>
      <w:rFonts w:ascii="Helvetica Neue" w:eastAsia="Helvetica Neue" w:hAnsi="Helvetica Neue" w:cs="Helvetica Neue"/>
      <w:color w:val="000000"/>
      <w:sz w:val="24"/>
      <w:szCs w:val="24"/>
      <w:u w:color="000000"/>
      <w14:textOutline w14:w="12700" w14:cap="flat" w14:cmpd="sng" w14:algn="ctr">
        <w14:noFill/>
        <w14:prstDash w14:val="solid"/>
        <w14:miter w14:lim="400000"/>
      </w14:textOutline>
    </w:rPr>
  </w:style>
  <w:style w:type="numbering" w:customStyle="1" w:styleId="BulletBig">
    <w:name w:val="Bullet Big"/>
    <w:pPr>
      <w:numPr>
        <w:numId w:val="1"/>
      </w:numPr>
    </w:pPr>
  </w:style>
  <w:style w:type="paragraph" w:styleId="Footer">
    <w:name w:val="footer"/>
    <w:basedOn w:val="Normal"/>
    <w:link w:val="FooterChar"/>
    <w:uiPriority w:val="99"/>
    <w:unhideWhenUsed/>
    <w:rsid w:val="00E8368F"/>
    <w:pPr>
      <w:tabs>
        <w:tab w:val="center" w:pos="4680"/>
        <w:tab w:val="right" w:pos="9360"/>
      </w:tabs>
    </w:pPr>
  </w:style>
  <w:style w:type="character" w:customStyle="1" w:styleId="FooterChar">
    <w:name w:val="Footer Char"/>
    <w:basedOn w:val="DefaultParagraphFont"/>
    <w:link w:val="Footer"/>
    <w:uiPriority w:val="99"/>
    <w:rsid w:val="00E8368F"/>
    <w:rPr>
      <w:sz w:val="24"/>
      <w:szCs w:val="24"/>
    </w:rPr>
  </w:style>
  <w:style w:type="character" w:styleId="PageNumber">
    <w:name w:val="page number"/>
    <w:basedOn w:val="DefaultParagraphFont"/>
    <w:uiPriority w:val="99"/>
    <w:semiHidden/>
    <w:unhideWhenUsed/>
    <w:rsid w:val="00E8368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3</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Mohsin Bhanwadia</cp:lastModifiedBy>
  <cp:revision>2</cp:revision>
  <dcterms:created xsi:type="dcterms:W3CDTF">2021-06-07T21:48:00Z</dcterms:created>
  <dcterms:modified xsi:type="dcterms:W3CDTF">2021-06-07T22:37:00Z</dcterms:modified>
</cp:coreProperties>
</file>